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D22F" w14:textId="42B57455" w:rsidR="007C6480" w:rsidRPr="003974C0" w:rsidRDefault="0118B429" w:rsidP="007C6480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7F065AB0">
        <w:rPr>
          <w:rFonts w:ascii="Arial" w:hAnsi="Arial" w:cs="Arial"/>
          <w:sz w:val="28"/>
          <w:szCs w:val="28"/>
        </w:rPr>
        <w:t>Pravilnik natječaja za dodjelu nagrada COMET za najbolje eTwinning</w:t>
      </w:r>
      <w:r w:rsidR="56E29284" w:rsidRPr="7F065AB0">
        <w:rPr>
          <w:rFonts w:ascii="Arial" w:hAnsi="Arial" w:cs="Arial"/>
          <w:sz w:val="28"/>
          <w:szCs w:val="28"/>
        </w:rPr>
        <w:t>ove</w:t>
      </w:r>
      <w:r w:rsidRPr="7F065AB0">
        <w:rPr>
          <w:rFonts w:ascii="Arial" w:hAnsi="Arial" w:cs="Arial"/>
          <w:sz w:val="28"/>
          <w:szCs w:val="28"/>
        </w:rPr>
        <w:t xml:space="preserve"> projekte u školskoj godini 20</w:t>
      </w:r>
      <w:r w:rsidR="56E29284" w:rsidRPr="7F065AB0">
        <w:rPr>
          <w:rFonts w:ascii="Arial" w:hAnsi="Arial" w:cs="Arial"/>
          <w:sz w:val="28"/>
          <w:szCs w:val="28"/>
        </w:rPr>
        <w:t>2</w:t>
      </w:r>
      <w:r w:rsidR="0069433F">
        <w:rPr>
          <w:rFonts w:ascii="Arial" w:hAnsi="Arial" w:cs="Arial"/>
          <w:sz w:val="28"/>
          <w:szCs w:val="28"/>
        </w:rPr>
        <w:t>4</w:t>
      </w:r>
      <w:r w:rsidRPr="7F065AB0">
        <w:rPr>
          <w:rFonts w:ascii="Arial" w:hAnsi="Arial" w:cs="Arial"/>
          <w:sz w:val="28"/>
          <w:szCs w:val="28"/>
        </w:rPr>
        <w:t>./202</w:t>
      </w:r>
      <w:r w:rsidR="0069433F">
        <w:rPr>
          <w:rFonts w:ascii="Arial" w:hAnsi="Arial" w:cs="Arial"/>
          <w:sz w:val="28"/>
          <w:szCs w:val="28"/>
        </w:rPr>
        <w:t>5</w:t>
      </w:r>
      <w:r w:rsidRPr="7F065AB0">
        <w:rPr>
          <w:rFonts w:ascii="Arial" w:hAnsi="Arial" w:cs="Arial"/>
          <w:sz w:val="28"/>
          <w:szCs w:val="28"/>
        </w:rPr>
        <w:t>.</w:t>
      </w:r>
    </w:p>
    <w:p w14:paraId="5F634B16" w14:textId="77777777" w:rsidR="007C6480" w:rsidRPr="003974C0" w:rsidRDefault="007C6480" w:rsidP="007C6480">
      <w:pPr>
        <w:tabs>
          <w:tab w:val="left" w:pos="7280"/>
        </w:tabs>
        <w:ind w:right="-541"/>
        <w:jc w:val="both"/>
        <w:rPr>
          <w:rFonts w:ascii="Arial" w:hAnsi="Arial" w:cs="Arial"/>
          <w:sz w:val="22"/>
          <w:szCs w:val="22"/>
          <w:lang w:val="hr-HR"/>
        </w:rPr>
      </w:pPr>
    </w:p>
    <w:p w14:paraId="7F44680D" w14:textId="77777777" w:rsidR="007C6480" w:rsidRPr="003974C0" w:rsidRDefault="007C6480" w:rsidP="007C6480">
      <w:pPr>
        <w:tabs>
          <w:tab w:val="left" w:pos="7280"/>
        </w:tabs>
        <w:ind w:right="-541"/>
        <w:jc w:val="both"/>
        <w:rPr>
          <w:rFonts w:ascii="Arial" w:hAnsi="Arial" w:cs="Arial"/>
          <w:sz w:val="22"/>
          <w:szCs w:val="22"/>
          <w:lang w:val="hr-HR"/>
        </w:rPr>
      </w:pPr>
    </w:p>
    <w:p w14:paraId="7E58AB7C" w14:textId="586B09E4" w:rsidR="007C6480" w:rsidRPr="003974C0" w:rsidRDefault="007C6480" w:rsidP="007C6480">
      <w:pPr>
        <w:pStyle w:val="ListParagraph"/>
        <w:tabs>
          <w:tab w:val="left" w:pos="7280"/>
        </w:tabs>
        <w:ind w:left="0" w:right="-541"/>
        <w:jc w:val="both"/>
        <w:rPr>
          <w:rFonts w:ascii="Arial" w:hAnsi="Arial" w:cs="Arial"/>
          <w:b/>
          <w:sz w:val="22"/>
          <w:szCs w:val="22"/>
        </w:rPr>
      </w:pPr>
      <w:r w:rsidRPr="003974C0">
        <w:rPr>
          <w:rFonts w:ascii="Arial" w:hAnsi="Arial" w:cs="Arial"/>
          <w:b/>
          <w:sz w:val="22"/>
          <w:szCs w:val="22"/>
        </w:rPr>
        <w:t>Organizator</w:t>
      </w:r>
      <w:r w:rsidR="00C33DE8">
        <w:rPr>
          <w:rFonts w:ascii="Arial" w:hAnsi="Arial" w:cs="Arial"/>
          <w:b/>
          <w:sz w:val="22"/>
          <w:szCs w:val="22"/>
        </w:rPr>
        <w:t xml:space="preserve"> i svrha </w:t>
      </w:r>
      <w:r w:rsidR="00C33DE8" w:rsidRPr="003974C0">
        <w:rPr>
          <w:rFonts w:ascii="Arial" w:hAnsi="Arial" w:cs="Arial"/>
          <w:b/>
          <w:sz w:val="22"/>
          <w:szCs w:val="22"/>
        </w:rPr>
        <w:t>natječaja</w:t>
      </w:r>
    </w:p>
    <w:p w14:paraId="2AB7C27D" w14:textId="27708422" w:rsidR="007C6480" w:rsidRPr="003974C0" w:rsidRDefault="007C6480" w:rsidP="007C6480">
      <w:pPr>
        <w:tabs>
          <w:tab w:val="left" w:pos="7280"/>
        </w:tabs>
        <w:ind w:right="-541"/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Organizator natječaja je </w:t>
      </w:r>
      <w:r w:rsidR="003974C0">
        <w:rPr>
          <w:rFonts w:ascii="Arial" w:hAnsi="Arial" w:cs="Arial"/>
          <w:sz w:val="22"/>
          <w:szCs w:val="22"/>
          <w:lang w:val="hr-HR" w:eastAsia="hr-HR"/>
        </w:rPr>
        <w:t xml:space="preserve">Hrvatska </w:t>
      </w:r>
      <w:r w:rsidR="003974C0" w:rsidRPr="000939AD">
        <w:rPr>
          <w:rFonts w:ascii="Arial" w:hAnsi="Arial" w:cs="Arial"/>
          <w:sz w:val="22"/>
          <w:szCs w:val="22"/>
          <w:lang w:val="hr-HR" w:eastAsia="hr-HR"/>
        </w:rPr>
        <w:t xml:space="preserve">Nacionalna </w:t>
      </w:r>
      <w:r w:rsidR="003974C0">
        <w:rPr>
          <w:rFonts w:ascii="Arial" w:hAnsi="Arial" w:cs="Arial"/>
          <w:sz w:val="22"/>
          <w:szCs w:val="22"/>
          <w:lang w:val="hr-HR" w:eastAsia="hr-HR"/>
        </w:rPr>
        <w:t xml:space="preserve">organizacija </w:t>
      </w:r>
      <w:r w:rsidR="003974C0" w:rsidRPr="000939AD">
        <w:rPr>
          <w:rFonts w:ascii="Arial" w:hAnsi="Arial" w:cs="Arial"/>
          <w:sz w:val="22"/>
          <w:szCs w:val="22"/>
          <w:lang w:val="hr-HR" w:eastAsia="hr-HR"/>
        </w:rPr>
        <w:t>za po</w:t>
      </w:r>
      <w:r w:rsidR="003974C0">
        <w:rPr>
          <w:rFonts w:ascii="Arial" w:hAnsi="Arial" w:cs="Arial"/>
          <w:sz w:val="22"/>
          <w:szCs w:val="22"/>
          <w:lang w:val="hr-HR" w:eastAsia="hr-HR"/>
        </w:rPr>
        <w:t>tporu</w:t>
      </w:r>
      <w:r w:rsidR="003974C0" w:rsidRPr="000939AD">
        <w:rPr>
          <w:rFonts w:ascii="Arial" w:hAnsi="Arial" w:cs="Arial"/>
          <w:sz w:val="22"/>
          <w:szCs w:val="22"/>
          <w:lang w:val="hr-HR" w:eastAsia="hr-HR"/>
        </w:rPr>
        <w:t xml:space="preserve"> eTwinningu</w:t>
      </w:r>
      <w:r w:rsidR="003974C0" w:rsidRPr="003974C0">
        <w:rPr>
          <w:rFonts w:ascii="Arial" w:hAnsi="Arial" w:cs="Arial"/>
          <w:sz w:val="22"/>
          <w:szCs w:val="22"/>
          <w:lang w:val="hr-HR"/>
        </w:rPr>
        <w:t xml:space="preserve"> </w:t>
      </w:r>
      <w:r w:rsidRPr="003974C0">
        <w:rPr>
          <w:rFonts w:ascii="Arial" w:hAnsi="Arial" w:cs="Arial"/>
          <w:sz w:val="22"/>
          <w:szCs w:val="22"/>
          <w:lang w:val="hr-HR"/>
        </w:rPr>
        <w:t>koja djeluje u okviru Agencije za mobilnost i programe Europske unije.</w:t>
      </w:r>
    </w:p>
    <w:p w14:paraId="223FB145" w14:textId="78BFD5DB" w:rsidR="007C6480" w:rsidRPr="003974C0" w:rsidRDefault="003974C0" w:rsidP="007C6480">
      <w:pPr>
        <w:tabs>
          <w:tab w:val="left" w:pos="7280"/>
        </w:tabs>
        <w:ind w:right="-541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Svrha</w:t>
      </w:r>
      <w:r w:rsidR="007C6480" w:rsidRPr="003974C0">
        <w:rPr>
          <w:rFonts w:ascii="Arial" w:hAnsi="Arial" w:cs="Arial"/>
          <w:sz w:val="22"/>
          <w:szCs w:val="22"/>
          <w:lang w:val="hr-HR"/>
        </w:rPr>
        <w:t xml:space="preserve"> natječaja je nagrađivanje najboljih eTwinning</w:t>
      </w:r>
      <w:r>
        <w:rPr>
          <w:rFonts w:ascii="Arial" w:hAnsi="Arial" w:cs="Arial"/>
          <w:sz w:val="22"/>
          <w:szCs w:val="22"/>
          <w:lang w:val="hr-HR"/>
        </w:rPr>
        <w:t>ovih</w:t>
      </w:r>
      <w:r w:rsidR="007C6480" w:rsidRPr="003974C0">
        <w:rPr>
          <w:rFonts w:ascii="Arial" w:hAnsi="Arial" w:cs="Arial"/>
          <w:sz w:val="22"/>
          <w:szCs w:val="22"/>
          <w:lang w:val="hr-HR"/>
        </w:rPr>
        <w:t xml:space="preserve"> projekata u školskoj godini 2</w:t>
      </w:r>
      <w:r>
        <w:rPr>
          <w:rFonts w:ascii="Arial" w:hAnsi="Arial" w:cs="Arial"/>
          <w:sz w:val="22"/>
          <w:szCs w:val="22"/>
          <w:lang w:val="hr-HR"/>
        </w:rPr>
        <w:t>02</w:t>
      </w:r>
      <w:r w:rsidR="0069433F">
        <w:rPr>
          <w:rFonts w:ascii="Arial" w:hAnsi="Arial" w:cs="Arial"/>
          <w:sz w:val="22"/>
          <w:szCs w:val="22"/>
          <w:lang w:val="hr-HR"/>
        </w:rPr>
        <w:t>4</w:t>
      </w:r>
      <w:r w:rsidR="007C6480" w:rsidRPr="003974C0">
        <w:rPr>
          <w:rFonts w:ascii="Arial" w:hAnsi="Arial" w:cs="Arial"/>
          <w:sz w:val="22"/>
          <w:szCs w:val="22"/>
          <w:lang w:val="hr-HR"/>
        </w:rPr>
        <w:t>./202</w:t>
      </w:r>
      <w:r w:rsidR="0069433F">
        <w:rPr>
          <w:rFonts w:ascii="Arial" w:hAnsi="Arial" w:cs="Arial"/>
          <w:sz w:val="22"/>
          <w:szCs w:val="22"/>
          <w:lang w:val="hr-HR"/>
        </w:rPr>
        <w:t>5</w:t>
      </w:r>
      <w:r w:rsidR="007C6480" w:rsidRPr="003974C0">
        <w:rPr>
          <w:rFonts w:ascii="Arial" w:hAnsi="Arial" w:cs="Arial"/>
          <w:sz w:val="22"/>
          <w:szCs w:val="22"/>
          <w:lang w:val="hr-HR"/>
        </w:rPr>
        <w:t xml:space="preserve">. u </w:t>
      </w:r>
      <w:r w:rsidR="0065420E">
        <w:rPr>
          <w:rFonts w:ascii="Arial" w:hAnsi="Arial" w:cs="Arial"/>
          <w:sz w:val="22"/>
          <w:szCs w:val="22"/>
          <w:lang w:val="hr-HR"/>
        </w:rPr>
        <w:t>šest</w:t>
      </w:r>
      <w:r w:rsidR="0065420E" w:rsidRPr="003974C0">
        <w:rPr>
          <w:rFonts w:ascii="Arial" w:hAnsi="Arial" w:cs="Arial"/>
          <w:sz w:val="22"/>
          <w:szCs w:val="22"/>
          <w:lang w:val="hr-HR"/>
        </w:rPr>
        <w:t xml:space="preserve"> </w:t>
      </w:r>
      <w:r w:rsidR="007C6480" w:rsidRPr="003974C0">
        <w:rPr>
          <w:rFonts w:ascii="Arial" w:hAnsi="Arial" w:cs="Arial"/>
          <w:sz w:val="22"/>
          <w:szCs w:val="22"/>
          <w:lang w:val="hr-HR"/>
        </w:rPr>
        <w:t xml:space="preserve">kategorija. </w:t>
      </w:r>
    </w:p>
    <w:p w14:paraId="00805F44" w14:textId="77777777" w:rsidR="007C6480" w:rsidRPr="003974C0" w:rsidRDefault="007C6480" w:rsidP="007C6480">
      <w:pPr>
        <w:tabs>
          <w:tab w:val="left" w:pos="7280"/>
        </w:tabs>
        <w:ind w:right="-541"/>
        <w:jc w:val="both"/>
        <w:rPr>
          <w:rFonts w:ascii="Arial" w:hAnsi="Arial" w:cs="Arial"/>
          <w:sz w:val="22"/>
          <w:szCs w:val="22"/>
          <w:lang w:val="hr-HR"/>
        </w:rPr>
      </w:pPr>
    </w:p>
    <w:p w14:paraId="57D353D9" w14:textId="77777777" w:rsidR="007C6480" w:rsidRPr="003974C0" w:rsidRDefault="007C6480" w:rsidP="007C6480">
      <w:pPr>
        <w:tabs>
          <w:tab w:val="left" w:pos="7280"/>
        </w:tabs>
        <w:ind w:right="-541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3974C0">
        <w:rPr>
          <w:rFonts w:ascii="Arial" w:hAnsi="Arial" w:cs="Arial"/>
          <w:b/>
          <w:bCs/>
          <w:sz w:val="22"/>
          <w:szCs w:val="22"/>
          <w:lang w:val="hr-HR"/>
        </w:rPr>
        <w:t>Kriteriji</w:t>
      </w:r>
    </w:p>
    <w:p w14:paraId="614482C0" w14:textId="0905331D" w:rsidR="007C6480" w:rsidRPr="003974C0" w:rsidRDefault="007C6480" w:rsidP="007C6480">
      <w:pPr>
        <w:tabs>
          <w:tab w:val="left" w:pos="7280"/>
        </w:tabs>
        <w:ind w:right="-541"/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>Najbolji projekti pokazuju:</w:t>
      </w:r>
    </w:p>
    <w:p w14:paraId="1C58D9AB" w14:textId="77777777" w:rsidR="007C6480" w:rsidRPr="003974C0" w:rsidRDefault="007C6480" w:rsidP="007C6480">
      <w:pPr>
        <w:tabs>
          <w:tab w:val="left" w:pos="7280"/>
        </w:tabs>
        <w:ind w:right="-541"/>
        <w:jc w:val="both"/>
        <w:rPr>
          <w:rFonts w:ascii="Arial" w:hAnsi="Arial" w:cs="Arial"/>
          <w:sz w:val="22"/>
          <w:szCs w:val="22"/>
          <w:lang w:val="hr-HR"/>
        </w:rPr>
      </w:pPr>
    </w:p>
    <w:p w14:paraId="17A32767" w14:textId="77777777" w:rsidR="007C6480" w:rsidRPr="003974C0" w:rsidRDefault="007C6480" w:rsidP="007C6480">
      <w:pPr>
        <w:pStyle w:val="ListParagraph"/>
        <w:numPr>
          <w:ilvl w:val="0"/>
          <w:numId w:val="4"/>
        </w:numPr>
        <w:tabs>
          <w:tab w:val="left" w:pos="7280"/>
        </w:tabs>
        <w:rPr>
          <w:rFonts w:ascii="Arial" w:hAnsi="Arial" w:cs="Arial"/>
          <w:sz w:val="22"/>
          <w:szCs w:val="22"/>
        </w:rPr>
      </w:pPr>
      <w:r w:rsidRPr="003974C0">
        <w:rPr>
          <w:rFonts w:ascii="Arial" w:hAnsi="Arial" w:cs="Arial"/>
          <w:sz w:val="22"/>
          <w:szCs w:val="22"/>
        </w:rPr>
        <w:t>razumno i inovativno korištenje informacijsko-komunikacijske tehnologije, uključujući alate eTwinninga</w:t>
      </w:r>
    </w:p>
    <w:p w14:paraId="692B4952" w14:textId="77777777" w:rsidR="007C6480" w:rsidRPr="003974C0" w:rsidRDefault="007C6480" w:rsidP="007C6480">
      <w:pPr>
        <w:pStyle w:val="ListParagraph"/>
        <w:numPr>
          <w:ilvl w:val="0"/>
          <w:numId w:val="4"/>
        </w:numPr>
        <w:tabs>
          <w:tab w:val="left" w:pos="7280"/>
        </w:tabs>
        <w:rPr>
          <w:rFonts w:ascii="Arial" w:hAnsi="Arial" w:cs="Arial"/>
          <w:sz w:val="22"/>
          <w:szCs w:val="22"/>
        </w:rPr>
      </w:pPr>
      <w:r w:rsidRPr="003974C0">
        <w:rPr>
          <w:rFonts w:ascii="Arial" w:hAnsi="Arial" w:cs="Arial"/>
          <w:sz w:val="22"/>
          <w:szCs w:val="22"/>
        </w:rPr>
        <w:t>aktivno sudjelovanje učenika i djece u predškolskim ustanovama</w:t>
      </w:r>
    </w:p>
    <w:p w14:paraId="3CA8C3C1" w14:textId="77777777" w:rsidR="007C6480" w:rsidRPr="003974C0" w:rsidRDefault="007C6480" w:rsidP="007C6480">
      <w:pPr>
        <w:pStyle w:val="ListParagraph"/>
        <w:numPr>
          <w:ilvl w:val="0"/>
          <w:numId w:val="4"/>
        </w:numPr>
        <w:tabs>
          <w:tab w:val="left" w:pos="7280"/>
        </w:tabs>
        <w:rPr>
          <w:rFonts w:ascii="Arial" w:hAnsi="Arial" w:cs="Arial"/>
          <w:sz w:val="22"/>
          <w:szCs w:val="22"/>
        </w:rPr>
      </w:pPr>
      <w:r w:rsidRPr="003974C0">
        <w:rPr>
          <w:rFonts w:ascii="Arial" w:hAnsi="Arial" w:cs="Arial"/>
          <w:sz w:val="22"/>
          <w:szCs w:val="22"/>
        </w:rPr>
        <w:t>jasne rezultate i ishode učenja</w:t>
      </w:r>
    </w:p>
    <w:p w14:paraId="316A8B58" w14:textId="77777777" w:rsidR="007C6480" w:rsidRPr="003974C0" w:rsidRDefault="007C6480" w:rsidP="007C6480">
      <w:pPr>
        <w:pStyle w:val="ListParagraph"/>
        <w:numPr>
          <w:ilvl w:val="0"/>
          <w:numId w:val="4"/>
        </w:numPr>
        <w:tabs>
          <w:tab w:val="left" w:pos="7280"/>
        </w:tabs>
        <w:rPr>
          <w:rFonts w:ascii="Arial" w:hAnsi="Arial" w:cs="Arial"/>
          <w:sz w:val="22"/>
          <w:szCs w:val="22"/>
        </w:rPr>
      </w:pPr>
      <w:r w:rsidRPr="003974C0">
        <w:rPr>
          <w:rFonts w:ascii="Arial" w:hAnsi="Arial" w:cs="Arial"/>
          <w:sz w:val="22"/>
          <w:szCs w:val="22"/>
        </w:rPr>
        <w:t>ulaganje u povećanje interkulturalne svijesti učenika i djece u predškolskim ustanovama</w:t>
      </w:r>
    </w:p>
    <w:p w14:paraId="5F708CB4" w14:textId="4F600DDF" w:rsidR="007C6480" w:rsidRPr="008216B5" w:rsidRDefault="007C6480" w:rsidP="007C6480">
      <w:pPr>
        <w:pStyle w:val="ListParagraph"/>
        <w:numPr>
          <w:ilvl w:val="0"/>
          <w:numId w:val="4"/>
        </w:numPr>
        <w:tabs>
          <w:tab w:val="left" w:pos="7280"/>
        </w:tabs>
        <w:rPr>
          <w:rFonts w:ascii="Arial" w:hAnsi="Arial" w:cs="Arial"/>
          <w:sz w:val="22"/>
          <w:szCs w:val="22"/>
        </w:rPr>
      </w:pPr>
      <w:r w:rsidRPr="008216B5">
        <w:rPr>
          <w:rFonts w:ascii="Arial" w:hAnsi="Arial" w:cs="Arial"/>
          <w:sz w:val="22"/>
          <w:szCs w:val="22"/>
        </w:rPr>
        <w:t>integraciju u nastavni</w:t>
      </w:r>
      <w:r w:rsidR="0065420E">
        <w:rPr>
          <w:rFonts w:ascii="Arial" w:hAnsi="Arial" w:cs="Arial"/>
          <w:sz w:val="22"/>
          <w:szCs w:val="22"/>
        </w:rPr>
        <w:t xml:space="preserve"> </w:t>
      </w:r>
      <w:r w:rsidRPr="008216B5">
        <w:rPr>
          <w:rFonts w:ascii="Arial" w:hAnsi="Arial" w:cs="Arial"/>
          <w:sz w:val="22"/>
          <w:szCs w:val="22"/>
        </w:rPr>
        <w:t>/</w:t>
      </w:r>
      <w:r w:rsidR="0065420E">
        <w:rPr>
          <w:rFonts w:ascii="Arial" w:hAnsi="Arial" w:cs="Arial"/>
          <w:sz w:val="22"/>
          <w:szCs w:val="22"/>
        </w:rPr>
        <w:t xml:space="preserve"> </w:t>
      </w:r>
      <w:r w:rsidRPr="008216B5">
        <w:rPr>
          <w:rFonts w:ascii="Arial" w:hAnsi="Arial" w:cs="Arial"/>
          <w:sz w:val="22"/>
          <w:szCs w:val="22"/>
        </w:rPr>
        <w:t>odgojno-obrazovni plan i program.</w:t>
      </w:r>
    </w:p>
    <w:p w14:paraId="7BD2B825" w14:textId="77777777" w:rsidR="007C6480" w:rsidRPr="003974C0" w:rsidRDefault="007C6480" w:rsidP="007C6480">
      <w:pPr>
        <w:pStyle w:val="ListParagraph"/>
        <w:tabs>
          <w:tab w:val="left" w:pos="728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5DEF4CB7" w14:textId="299D0B80" w:rsidR="007C6480" w:rsidRPr="003974C0" w:rsidRDefault="007C6480" w:rsidP="007C6480">
      <w:pPr>
        <w:tabs>
          <w:tab w:val="left" w:pos="7280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>Natječaj se objavljuje na mrežnim stranicama Nacionalne službe za podršku eTwinningu</w:t>
      </w:r>
      <w:r w:rsidR="00AC756B">
        <w:rPr>
          <w:rFonts w:ascii="Arial" w:hAnsi="Arial" w:cs="Arial"/>
          <w:sz w:val="22"/>
          <w:szCs w:val="22"/>
          <w:lang w:val="hr-HR"/>
        </w:rPr>
        <w:t xml:space="preserve"> (</w:t>
      </w:r>
      <w:hyperlink r:id="rId11" w:history="1">
        <w:r w:rsidR="00AC756B" w:rsidRPr="006150D6">
          <w:rPr>
            <w:rStyle w:val="Hyperlink"/>
            <w:rFonts w:ascii="Arial" w:hAnsi="Arial" w:cs="Arial"/>
            <w:sz w:val="22"/>
            <w:szCs w:val="22"/>
            <w:lang w:val="hr-HR"/>
          </w:rPr>
          <w:t>https://www.etwinning.hr/hr/</w:t>
        </w:r>
      </w:hyperlink>
      <w:r w:rsidR="00AC756B">
        <w:rPr>
          <w:rFonts w:ascii="Arial" w:hAnsi="Arial" w:cs="Arial"/>
          <w:sz w:val="22"/>
          <w:szCs w:val="22"/>
          <w:lang w:val="hr-HR"/>
        </w:rPr>
        <w:t xml:space="preserve">). </w:t>
      </w:r>
    </w:p>
    <w:p w14:paraId="405EEA43" w14:textId="77777777" w:rsidR="007C6480" w:rsidRPr="003974C0" w:rsidRDefault="007C6480" w:rsidP="007C6480">
      <w:pPr>
        <w:tabs>
          <w:tab w:val="left" w:pos="7280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144DE7C1" w14:textId="77777777" w:rsidR="007C6480" w:rsidRPr="003974C0" w:rsidRDefault="007C6480" w:rsidP="007C6480">
      <w:pPr>
        <w:pStyle w:val="ListParagraph"/>
        <w:tabs>
          <w:tab w:val="left" w:pos="7280"/>
        </w:tabs>
        <w:ind w:left="0"/>
        <w:jc w:val="both"/>
        <w:rPr>
          <w:rFonts w:ascii="Arial" w:hAnsi="Arial" w:cs="Arial"/>
          <w:b/>
          <w:sz w:val="22"/>
          <w:szCs w:val="22"/>
        </w:rPr>
      </w:pPr>
      <w:r w:rsidRPr="003974C0">
        <w:rPr>
          <w:rFonts w:ascii="Arial" w:hAnsi="Arial" w:cs="Arial"/>
          <w:b/>
          <w:sz w:val="22"/>
          <w:szCs w:val="22"/>
        </w:rPr>
        <w:t>Sudionici</w:t>
      </w:r>
    </w:p>
    <w:p w14:paraId="0BC0A1AC" w14:textId="121C142F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>Sudjelovanje u natječaju je besplatno. Prijaviti se mogu svi zaposlenici predškolskih ustanova</w:t>
      </w:r>
      <w:r w:rsidR="000D1755">
        <w:rPr>
          <w:rFonts w:ascii="Arial" w:hAnsi="Arial" w:cs="Arial"/>
          <w:sz w:val="22"/>
          <w:szCs w:val="22"/>
          <w:lang w:val="hr-HR"/>
        </w:rPr>
        <w:t xml:space="preserve">, </w:t>
      </w:r>
      <w:r w:rsidRPr="003974C0">
        <w:rPr>
          <w:rFonts w:ascii="Arial" w:hAnsi="Arial" w:cs="Arial"/>
          <w:sz w:val="22"/>
          <w:szCs w:val="22"/>
          <w:lang w:val="hr-HR"/>
        </w:rPr>
        <w:t>osnovnih i srednjih škola</w:t>
      </w:r>
      <w:r w:rsidR="000D1755">
        <w:rPr>
          <w:rFonts w:ascii="Arial" w:hAnsi="Arial" w:cs="Arial"/>
          <w:sz w:val="22"/>
          <w:szCs w:val="22"/>
          <w:lang w:val="hr-HR"/>
        </w:rPr>
        <w:t>, te drugih odgojno-obrazovnih ustanova koje rade u području predtercijarnog obrazovanja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u Republici Hrvatskoj koji su tijekom školske godine 20</w:t>
      </w:r>
      <w:r w:rsidR="003974C0">
        <w:rPr>
          <w:rFonts w:ascii="Arial" w:hAnsi="Arial" w:cs="Arial"/>
          <w:sz w:val="22"/>
          <w:szCs w:val="22"/>
          <w:lang w:val="hr-HR"/>
        </w:rPr>
        <w:t>2</w:t>
      </w:r>
      <w:r w:rsidR="004718DD">
        <w:rPr>
          <w:rFonts w:ascii="Arial" w:hAnsi="Arial" w:cs="Arial"/>
          <w:sz w:val="22"/>
          <w:szCs w:val="22"/>
          <w:lang w:val="hr-HR"/>
        </w:rPr>
        <w:t>4</w:t>
      </w:r>
      <w:r w:rsidRPr="003974C0">
        <w:rPr>
          <w:rFonts w:ascii="Arial" w:hAnsi="Arial" w:cs="Arial"/>
          <w:sz w:val="22"/>
          <w:szCs w:val="22"/>
          <w:lang w:val="hr-HR"/>
        </w:rPr>
        <w:t>./202</w:t>
      </w:r>
      <w:r w:rsidR="004718DD">
        <w:rPr>
          <w:rFonts w:ascii="Arial" w:hAnsi="Arial" w:cs="Arial"/>
          <w:sz w:val="22"/>
          <w:szCs w:val="22"/>
          <w:lang w:val="hr-HR"/>
        </w:rPr>
        <w:t>5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. </w:t>
      </w:r>
      <w:r w:rsidRPr="003974C0">
        <w:rPr>
          <w:rFonts w:ascii="Arial" w:hAnsi="Arial" w:cs="Arial"/>
          <w:b/>
          <w:bCs/>
          <w:sz w:val="22"/>
          <w:szCs w:val="22"/>
          <w:lang w:val="hr-HR"/>
        </w:rPr>
        <w:t>pokrenuli i proveli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najmanje jedan eTwinning</w:t>
      </w:r>
      <w:r w:rsidR="003974C0">
        <w:rPr>
          <w:rFonts w:ascii="Arial" w:hAnsi="Arial" w:cs="Arial"/>
          <w:sz w:val="22"/>
          <w:szCs w:val="22"/>
          <w:lang w:val="hr-HR"/>
        </w:rPr>
        <w:t>ov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projekt. Natječaj je neovisan o svim drugim eTwinning</w:t>
      </w:r>
      <w:r w:rsidR="003974C0">
        <w:rPr>
          <w:rFonts w:ascii="Arial" w:hAnsi="Arial" w:cs="Arial"/>
          <w:sz w:val="22"/>
          <w:szCs w:val="22"/>
          <w:lang w:val="hr-HR"/>
        </w:rPr>
        <w:t>ovim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</w:t>
      </w:r>
      <w:r w:rsidR="003974C0" w:rsidRPr="003974C0">
        <w:rPr>
          <w:rFonts w:ascii="Arial" w:hAnsi="Arial" w:cs="Arial"/>
          <w:sz w:val="22"/>
          <w:szCs w:val="22"/>
          <w:lang w:val="hr-HR"/>
        </w:rPr>
        <w:t xml:space="preserve">natječajima 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u Europi. </w:t>
      </w:r>
    </w:p>
    <w:p w14:paraId="7806ECB1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CB33EC2" w14:textId="77777777" w:rsidR="007C6480" w:rsidRPr="003974C0" w:rsidRDefault="007C6480" w:rsidP="007C6480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3974C0">
        <w:rPr>
          <w:rFonts w:ascii="Arial" w:hAnsi="Arial" w:cs="Arial"/>
          <w:b/>
          <w:bCs/>
          <w:sz w:val="22"/>
          <w:szCs w:val="22"/>
          <w:lang w:val="hr-HR"/>
        </w:rPr>
        <w:t xml:space="preserve">Kategorije nagrada </w:t>
      </w:r>
    </w:p>
    <w:p w14:paraId="702E327E" w14:textId="0EDE9FB9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Nagrade se dodjeljuju u </w:t>
      </w:r>
      <w:r w:rsidR="005C47F8">
        <w:rPr>
          <w:rFonts w:ascii="Arial" w:hAnsi="Arial" w:cs="Arial"/>
          <w:sz w:val="22"/>
          <w:szCs w:val="22"/>
          <w:lang w:val="hr-HR"/>
        </w:rPr>
        <w:t>šest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kategorija:</w:t>
      </w:r>
    </w:p>
    <w:p w14:paraId="37540FDF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EF1C0D8" w14:textId="645F241E" w:rsidR="007C6480" w:rsidRPr="003974C0" w:rsidRDefault="007C6480" w:rsidP="007C6480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74C0">
        <w:rPr>
          <w:rFonts w:ascii="Arial" w:hAnsi="Arial" w:cs="Arial"/>
          <w:sz w:val="22"/>
          <w:szCs w:val="22"/>
        </w:rPr>
        <w:t>predškolski odgoj i obrazovanje</w:t>
      </w:r>
      <w:r w:rsidR="00FA5BD5">
        <w:rPr>
          <w:rFonts w:ascii="Arial" w:hAnsi="Arial" w:cs="Arial"/>
          <w:sz w:val="22"/>
          <w:szCs w:val="22"/>
        </w:rPr>
        <w:t>,</w:t>
      </w:r>
    </w:p>
    <w:p w14:paraId="0B7FE85A" w14:textId="4AFAFD75" w:rsidR="007C6480" w:rsidRPr="003974C0" w:rsidRDefault="007C6480" w:rsidP="007C6480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74C0">
        <w:rPr>
          <w:rFonts w:ascii="Arial" w:hAnsi="Arial" w:cs="Arial"/>
          <w:sz w:val="22"/>
          <w:szCs w:val="22"/>
        </w:rPr>
        <w:t>niži razredi osnovne škole</w:t>
      </w:r>
      <w:r w:rsidR="00FA5BD5">
        <w:rPr>
          <w:rFonts w:ascii="Arial" w:hAnsi="Arial" w:cs="Arial"/>
          <w:sz w:val="22"/>
          <w:szCs w:val="22"/>
        </w:rPr>
        <w:t>,</w:t>
      </w:r>
    </w:p>
    <w:p w14:paraId="45017BEB" w14:textId="47871C01" w:rsidR="007C6480" w:rsidRPr="003974C0" w:rsidRDefault="007C6480" w:rsidP="007C6480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74C0">
        <w:rPr>
          <w:rFonts w:ascii="Arial" w:hAnsi="Arial" w:cs="Arial"/>
          <w:sz w:val="22"/>
          <w:szCs w:val="22"/>
        </w:rPr>
        <w:t>viši razredi osnovne škole</w:t>
      </w:r>
      <w:r w:rsidR="00FA5BD5">
        <w:rPr>
          <w:rFonts w:ascii="Arial" w:hAnsi="Arial" w:cs="Arial"/>
          <w:sz w:val="22"/>
          <w:szCs w:val="22"/>
        </w:rPr>
        <w:t>,</w:t>
      </w:r>
    </w:p>
    <w:p w14:paraId="64FBBB30" w14:textId="5CBC42C2" w:rsidR="007C6480" w:rsidRPr="003974C0" w:rsidRDefault="007C6480" w:rsidP="007C6480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74C0">
        <w:rPr>
          <w:rFonts w:ascii="Arial" w:hAnsi="Arial" w:cs="Arial"/>
          <w:sz w:val="22"/>
          <w:szCs w:val="22"/>
        </w:rPr>
        <w:t>gimnazije</w:t>
      </w:r>
      <w:r w:rsidR="00FA5BD5">
        <w:rPr>
          <w:rFonts w:ascii="Arial" w:hAnsi="Arial" w:cs="Arial"/>
          <w:sz w:val="22"/>
          <w:szCs w:val="22"/>
        </w:rPr>
        <w:t>,</w:t>
      </w:r>
      <w:r w:rsidRPr="003974C0">
        <w:rPr>
          <w:rFonts w:ascii="Arial" w:hAnsi="Arial" w:cs="Arial"/>
          <w:sz w:val="22"/>
          <w:szCs w:val="22"/>
        </w:rPr>
        <w:t xml:space="preserve"> </w:t>
      </w:r>
    </w:p>
    <w:p w14:paraId="284911F5" w14:textId="74F5F0A6" w:rsidR="007C6480" w:rsidRDefault="007C6480" w:rsidP="007C6480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74C0">
        <w:rPr>
          <w:rFonts w:ascii="Arial" w:hAnsi="Arial" w:cs="Arial"/>
          <w:sz w:val="22"/>
          <w:szCs w:val="22"/>
        </w:rPr>
        <w:t>strukovne i umjetničke škole</w:t>
      </w:r>
      <w:r w:rsidR="00FA5BD5">
        <w:rPr>
          <w:rFonts w:ascii="Arial" w:hAnsi="Arial" w:cs="Arial"/>
          <w:sz w:val="22"/>
          <w:szCs w:val="22"/>
        </w:rPr>
        <w:t>,</w:t>
      </w:r>
    </w:p>
    <w:p w14:paraId="035A6AAA" w14:textId="6492FBA7" w:rsidR="00FA5BD5" w:rsidRPr="003974C0" w:rsidRDefault="00FA5BD5" w:rsidP="007C6480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uključiva odgojno-obrazovna ustanova.</w:t>
      </w:r>
    </w:p>
    <w:p w14:paraId="14CB2F13" w14:textId="7D0D859B" w:rsidR="007C6480" w:rsidRPr="003974C0" w:rsidRDefault="007C6480" w:rsidP="007C6480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3974C0">
        <w:rPr>
          <w:rFonts w:ascii="Arial" w:hAnsi="Arial" w:cs="Arial"/>
          <w:b/>
          <w:bCs/>
          <w:sz w:val="22"/>
          <w:szCs w:val="22"/>
          <w:lang w:val="hr-HR" w:eastAsia="hr-HR"/>
        </w:rPr>
        <w:t>Kriteriji formalne prihvatljivosti prijava</w:t>
      </w:r>
    </w:p>
    <w:p w14:paraId="542F6FFE" w14:textId="77777777" w:rsidR="003974C0" w:rsidRPr="000939AD" w:rsidRDefault="003974C0" w:rsidP="003974C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szCs w:val="22"/>
          <w:lang w:val="hr-HR" w:eastAsia="hr-HR"/>
        </w:rPr>
      </w:pPr>
      <w:r w:rsidRPr="000939AD">
        <w:rPr>
          <w:rFonts w:ascii="Arial" w:hAnsi="Arial" w:cs="Arial"/>
          <w:sz w:val="22"/>
          <w:szCs w:val="22"/>
          <w:lang w:val="hr-HR" w:eastAsia="hr-HR"/>
        </w:rPr>
        <w:t>prijavitelj je član eTwinninga i projekt je prijavljen putem platforme eTwinning</w:t>
      </w:r>
    </w:p>
    <w:p w14:paraId="3AE8413C" w14:textId="77777777" w:rsidR="003974C0" w:rsidRPr="000939AD" w:rsidRDefault="003974C0" w:rsidP="003974C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szCs w:val="22"/>
          <w:lang w:val="hr-HR" w:eastAsia="hr-HR"/>
        </w:rPr>
      </w:pPr>
      <w:r w:rsidRPr="000939AD">
        <w:rPr>
          <w:rFonts w:ascii="Arial" w:hAnsi="Arial" w:cs="Arial"/>
          <w:sz w:val="22"/>
          <w:szCs w:val="22"/>
          <w:lang w:val="hr-HR" w:eastAsia="hr-HR"/>
        </w:rPr>
        <w:t xml:space="preserve">prijavitelj je osnivač projekta </w:t>
      </w:r>
      <w:r w:rsidRPr="000939AD">
        <w:rPr>
          <w:rFonts w:ascii="Arial" w:hAnsi="Arial" w:cs="Arial"/>
          <w:i/>
          <w:iCs/>
          <w:sz w:val="22"/>
          <w:szCs w:val="22"/>
          <w:lang w:val="hr-HR" w:eastAsia="hr-HR"/>
        </w:rPr>
        <w:t>(founder)</w:t>
      </w:r>
    </w:p>
    <w:p w14:paraId="7B1B6C17" w14:textId="46816C22" w:rsidR="003974C0" w:rsidRPr="000939AD" w:rsidRDefault="003974C0" w:rsidP="003974C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szCs w:val="22"/>
          <w:lang w:val="hr-HR" w:eastAsia="hr-HR"/>
        </w:rPr>
      </w:pPr>
      <w:r w:rsidRPr="000939AD">
        <w:rPr>
          <w:rFonts w:ascii="Arial" w:hAnsi="Arial" w:cs="Arial"/>
          <w:sz w:val="22"/>
          <w:szCs w:val="22"/>
          <w:lang w:val="hr-HR" w:eastAsia="hr-HR"/>
        </w:rPr>
        <w:t>projekt je realiziran u školskoj godini 20</w:t>
      </w:r>
      <w:r>
        <w:rPr>
          <w:rFonts w:ascii="Arial" w:hAnsi="Arial" w:cs="Arial"/>
          <w:sz w:val="22"/>
          <w:szCs w:val="22"/>
          <w:lang w:val="hr-HR" w:eastAsia="hr-HR"/>
        </w:rPr>
        <w:t>2</w:t>
      </w:r>
      <w:r w:rsidR="004718DD">
        <w:rPr>
          <w:rFonts w:ascii="Arial" w:hAnsi="Arial" w:cs="Arial"/>
          <w:sz w:val="22"/>
          <w:szCs w:val="22"/>
          <w:lang w:val="hr-HR" w:eastAsia="hr-HR"/>
        </w:rPr>
        <w:t>4</w:t>
      </w:r>
      <w:r w:rsidRPr="000939AD">
        <w:rPr>
          <w:rFonts w:ascii="Arial" w:hAnsi="Arial" w:cs="Arial"/>
          <w:sz w:val="22"/>
          <w:szCs w:val="22"/>
          <w:lang w:val="hr-HR" w:eastAsia="hr-HR"/>
        </w:rPr>
        <w:t>./202</w:t>
      </w:r>
      <w:r w:rsidR="004718DD">
        <w:rPr>
          <w:rFonts w:ascii="Arial" w:hAnsi="Arial" w:cs="Arial"/>
          <w:sz w:val="22"/>
          <w:szCs w:val="22"/>
          <w:lang w:val="hr-HR" w:eastAsia="hr-HR"/>
        </w:rPr>
        <w:t>5</w:t>
      </w:r>
      <w:r w:rsidRPr="000939AD">
        <w:rPr>
          <w:rFonts w:ascii="Arial" w:hAnsi="Arial" w:cs="Arial"/>
          <w:sz w:val="22"/>
          <w:szCs w:val="22"/>
          <w:lang w:val="hr-HR" w:eastAsia="hr-HR"/>
        </w:rPr>
        <w:t>.</w:t>
      </w:r>
    </w:p>
    <w:p w14:paraId="660EB1A1" w14:textId="4C9A6CBB" w:rsidR="003974C0" w:rsidRPr="000939AD" w:rsidRDefault="003974C0" w:rsidP="003974C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szCs w:val="22"/>
          <w:lang w:val="hr-HR" w:eastAsia="hr-HR"/>
        </w:rPr>
      </w:pPr>
      <w:r w:rsidRPr="000939AD">
        <w:rPr>
          <w:rFonts w:ascii="Arial" w:hAnsi="Arial" w:cs="Arial"/>
          <w:sz w:val="22"/>
          <w:szCs w:val="22"/>
          <w:lang w:val="hr-HR" w:eastAsia="hr-HR"/>
        </w:rPr>
        <w:t xml:space="preserve">projekt je zatvoren ili </w:t>
      </w:r>
      <w:r w:rsidR="006B7D96">
        <w:rPr>
          <w:rFonts w:ascii="Arial" w:hAnsi="Arial" w:cs="Arial"/>
          <w:sz w:val="22"/>
          <w:szCs w:val="22"/>
          <w:lang w:val="hr-HR" w:eastAsia="hr-HR"/>
        </w:rPr>
        <w:t xml:space="preserve">je </w:t>
      </w:r>
      <w:r w:rsidRPr="000939AD">
        <w:rPr>
          <w:rFonts w:ascii="Arial" w:hAnsi="Arial" w:cs="Arial"/>
          <w:sz w:val="22"/>
          <w:szCs w:val="22"/>
          <w:lang w:val="hr-HR" w:eastAsia="hr-HR"/>
        </w:rPr>
        <w:t>u završnoj fazi</w:t>
      </w:r>
    </w:p>
    <w:p w14:paraId="66AD34E5" w14:textId="779C1897" w:rsidR="007C6480" w:rsidRPr="003974C0" w:rsidRDefault="003974C0" w:rsidP="000E52F2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szCs w:val="22"/>
          <w:lang w:val="hr-HR"/>
        </w:rPr>
      </w:pPr>
      <w:r w:rsidRPr="000939AD">
        <w:rPr>
          <w:rFonts w:ascii="Arial" w:hAnsi="Arial" w:cs="Arial"/>
          <w:sz w:val="22"/>
          <w:szCs w:val="22"/>
          <w:lang w:val="hr-HR" w:eastAsia="hr-HR"/>
        </w:rPr>
        <w:t>projektu je dodijeljena Nacionalna oznaka kvalitete.</w:t>
      </w:r>
    </w:p>
    <w:p w14:paraId="4FE64CFB" w14:textId="77777777" w:rsidR="00FA5BD5" w:rsidRDefault="00FA5BD5" w:rsidP="007C6480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DD334DF" w14:textId="06A054EA" w:rsidR="007C6480" w:rsidRPr="003974C0" w:rsidRDefault="007C6480" w:rsidP="007C6480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3974C0">
        <w:rPr>
          <w:rFonts w:ascii="Arial" w:hAnsi="Arial" w:cs="Arial"/>
          <w:b/>
          <w:sz w:val="22"/>
          <w:szCs w:val="22"/>
        </w:rPr>
        <w:t xml:space="preserve">Postupak prijave </w:t>
      </w:r>
    </w:p>
    <w:p w14:paraId="4AA01645" w14:textId="5DD39144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Krajnji rok za podnošenje prijava je </w:t>
      </w:r>
      <w:r w:rsidR="0015323B">
        <w:rPr>
          <w:rFonts w:ascii="Arial" w:hAnsi="Arial" w:cs="Arial"/>
          <w:sz w:val="22"/>
          <w:szCs w:val="22"/>
          <w:lang w:val="hr-HR"/>
        </w:rPr>
        <w:t>10</w:t>
      </w:r>
      <w:r w:rsidR="000E52F2">
        <w:rPr>
          <w:rFonts w:ascii="Arial" w:hAnsi="Arial" w:cs="Arial"/>
          <w:sz w:val="22"/>
          <w:szCs w:val="22"/>
          <w:lang w:val="hr-HR"/>
        </w:rPr>
        <w:t>. rujna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202</w:t>
      </w:r>
      <w:r w:rsidR="00B43444">
        <w:rPr>
          <w:rFonts w:ascii="Arial" w:hAnsi="Arial" w:cs="Arial"/>
          <w:sz w:val="22"/>
          <w:szCs w:val="22"/>
          <w:lang w:val="hr-HR"/>
        </w:rPr>
        <w:t>5</w:t>
      </w:r>
      <w:r w:rsidRPr="003974C0">
        <w:rPr>
          <w:rFonts w:ascii="Arial" w:hAnsi="Arial" w:cs="Arial"/>
          <w:sz w:val="22"/>
          <w:szCs w:val="22"/>
          <w:lang w:val="hr-HR"/>
        </w:rPr>
        <w:t>.</w:t>
      </w:r>
      <w:r w:rsidR="00AB6A80">
        <w:rPr>
          <w:rFonts w:ascii="Arial" w:hAnsi="Arial" w:cs="Arial"/>
          <w:sz w:val="22"/>
          <w:szCs w:val="22"/>
          <w:lang w:val="hr-HR"/>
        </w:rPr>
        <w:t xml:space="preserve"> godine.</w:t>
      </w:r>
    </w:p>
    <w:p w14:paraId="7A8324F0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42CFD28" w14:textId="5203647D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Prijava se podnosi isključivo ispunjavanjem </w:t>
      </w:r>
      <w:r w:rsidR="008E4976">
        <w:rPr>
          <w:rFonts w:ascii="Arial" w:hAnsi="Arial" w:cs="Arial"/>
          <w:iCs/>
          <w:sz w:val="22"/>
          <w:szCs w:val="22"/>
          <w:lang w:val="hr-HR"/>
        </w:rPr>
        <w:t>mrežnog</w:t>
      </w:r>
      <w:r w:rsidR="008E4976" w:rsidRPr="003974C0">
        <w:rPr>
          <w:rFonts w:ascii="Arial" w:hAnsi="Arial" w:cs="Arial"/>
          <w:sz w:val="22"/>
          <w:szCs w:val="22"/>
          <w:lang w:val="hr-HR"/>
        </w:rPr>
        <w:t xml:space="preserve"> 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obrasca koji mora biti u cijelosti ispunjen. Popunjavanjem traženih podataka prijavitelj potvrđuje da su sve informacije istinite i točne. </w:t>
      </w:r>
    </w:p>
    <w:p w14:paraId="1CF8A5A6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>Zakašnjele i nepotpune prijave ili prijave osoba koje nisu osnivači predloženog projekta neće se razmatrati.</w:t>
      </w:r>
    </w:p>
    <w:p w14:paraId="09F79B0A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B0377EA" w14:textId="77777777" w:rsidR="007C6480" w:rsidRPr="003974C0" w:rsidRDefault="007C6480" w:rsidP="007C6480">
      <w:pPr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3974C0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Ocjena kvalitete prijava </w:t>
      </w:r>
    </w:p>
    <w:p w14:paraId="0C201FE2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3974C0">
        <w:rPr>
          <w:rFonts w:ascii="Arial" w:hAnsi="Arial" w:cs="Arial"/>
          <w:sz w:val="22"/>
          <w:szCs w:val="22"/>
          <w:lang w:val="hr-HR" w:eastAsia="hr-HR"/>
        </w:rPr>
        <w:t>Prijave se ocjenjuju prema prethodno navedenim sljedećim kriterijima:</w:t>
      </w:r>
    </w:p>
    <w:p w14:paraId="4773CA50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40253528" w14:textId="43A70971" w:rsidR="007C6480" w:rsidRPr="003974C0" w:rsidRDefault="007C6480" w:rsidP="007C64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3974C0">
        <w:rPr>
          <w:rFonts w:ascii="Arial" w:hAnsi="Arial" w:cs="Arial"/>
          <w:sz w:val="22"/>
          <w:szCs w:val="22"/>
          <w:lang w:val="hr-HR" w:eastAsia="hr-HR"/>
        </w:rPr>
        <w:t>pedagoške inovacije i kreativnost</w:t>
      </w:r>
      <w:r w:rsidR="000B78A6">
        <w:rPr>
          <w:rFonts w:ascii="Arial" w:hAnsi="Arial" w:cs="Arial"/>
          <w:sz w:val="22"/>
          <w:szCs w:val="22"/>
          <w:lang w:val="hr-HR" w:eastAsia="hr-HR"/>
        </w:rPr>
        <w:t>,</w:t>
      </w:r>
      <w:r w:rsidRPr="003974C0">
        <w:rPr>
          <w:rFonts w:ascii="Arial" w:hAnsi="Arial" w:cs="Arial"/>
          <w:sz w:val="22"/>
          <w:szCs w:val="22"/>
          <w:lang w:val="hr-HR" w:eastAsia="hr-HR"/>
        </w:rPr>
        <w:t xml:space="preserve"> </w:t>
      </w:r>
    </w:p>
    <w:p w14:paraId="6E750E0E" w14:textId="291291D2" w:rsidR="007C6480" w:rsidRPr="003974C0" w:rsidRDefault="007C6480" w:rsidP="007C64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3974C0">
        <w:rPr>
          <w:rFonts w:ascii="Arial" w:hAnsi="Arial" w:cs="Arial"/>
          <w:sz w:val="22"/>
          <w:szCs w:val="22"/>
          <w:lang w:val="hr-HR" w:eastAsia="hr-HR"/>
        </w:rPr>
        <w:t>integracija projekta u kurikulum</w:t>
      </w:r>
      <w:r w:rsidR="000B78A6">
        <w:rPr>
          <w:rFonts w:ascii="Arial" w:hAnsi="Arial" w:cs="Arial"/>
          <w:sz w:val="22"/>
          <w:szCs w:val="22"/>
          <w:lang w:val="hr-HR" w:eastAsia="hr-HR"/>
        </w:rPr>
        <w:t>,</w:t>
      </w:r>
    </w:p>
    <w:p w14:paraId="1BA916B7" w14:textId="5FC502AF" w:rsidR="007C6480" w:rsidRPr="003974C0" w:rsidRDefault="007C6480" w:rsidP="007C64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3974C0">
        <w:rPr>
          <w:rFonts w:ascii="Arial" w:hAnsi="Arial" w:cs="Arial"/>
          <w:sz w:val="22"/>
          <w:szCs w:val="22"/>
          <w:lang w:val="hr-HR" w:eastAsia="hr-HR"/>
        </w:rPr>
        <w:t>suradnja među partnerskim školama</w:t>
      </w:r>
      <w:r w:rsidR="000B78A6">
        <w:rPr>
          <w:rFonts w:ascii="Arial" w:hAnsi="Arial" w:cs="Arial"/>
          <w:sz w:val="22"/>
          <w:szCs w:val="22"/>
          <w:lang w:val="hr-HR" w:eastAsia="hr-HR"/>
        </w:rPr>
        <w:t>,</w:t>
      </w:r>
    </w:p>
    <w:p w14:paraId="40D9260C" w14:textId="17D70A97" w:rsidR="007C6480" w:rsidRPr="003974C0" w:rsidRDefault="007C6480" w:rsidP="007C64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3974C0">
        <w:rPr>
          <w:rFonts w:ascii="Arial" w:hAnsi="Arial" w:cs="Arial"/>
          <w:sz w:val="22"/>
          <w:szCs w:val="22"/>
          <w:lang w:val="hr-HR" w:eastAsia="hr-HR"/>
        </w:rPr>
        <w:t>kreativna uporaba informacijsko-komunikacijske tehnologije</w:t>
      </w:r>
      <w:r w:rsidR="000B78A6">
        <w:rPr>
          <w:rFonts w:ascii="Arial" w:hAnsi="Arial" w:cs="Arial"/>
          <w:sz w:val="22"/>
          <w:szCs w:val="22"/>
          <w:lang w:val="hr-HR" w:eastAsia="hr-HR"/>
        </w:rPr>
        <w:t>,</w:t>
      </w:r>
    </w:p>
    <w:p w14:paraId="659583B5" w14:textId="77777777" w:rsidR="007C6480" w:rsidRDefault="007C6480" w:rsidP="007C648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3974C0">
        <w:rPr>
          <w:rFonts w:ascii="Arial" w:hAnsi="Arial" w:cs="Arial"/>
          <w:sz w:val="22"/>
          <w:szCs w:val="22"/>
          <w:lang w:val="hr-HR" w:eastAsia="hr-HR"/>
        </w:rPr>
        <w:t>rezultati, učinak i dokumentiranje projekta.</w:t>
      </w:r>
    </w:p>
    <w:p w14:paraId="45F2F60E" w14:textId="77777777" w:rsidR="002952FC" w:rsidRDefault="002952FC" w:rsidP="002952FC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7D0DE437" w14:textId="1F06B39C" w:rsidR="002952FC" w:rsidRPr="003974C0" w:rsidRDefault="00476C2C" w:rsidP="002952FC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Prijave će se ocjenjivati i temeljem </w:t>
      </w:r>
      <w:r w:rsidR="0078051A">
        <w:rPr>
          <w:rFonts w:ascii="Arial" w:hAnsi="Arial" w:cs="Arial"/>
          <w:sz w:val="22"/>
          <w:szCs w:val="22"/>
          <w:lang w:val="hr-HR" w:eastAsia="hr-HR"/>
        </w:rPr>
        <w:t xml:space="preserve">obrazloženja motivacije </w:t>
      </w:r>
      <w:r>
        <w:rPr>
          <w:rFonts w:ascii="Arial" w:hAnsi="Arial" w:cs="Arial"/>
          <w:sz w:val="22"/>
          <w:szCs w:val="22"/>
          <w:lang w:val="hr-HR" w:eastAsia="hr-HR"/>
        </w:rPr>
        <w:t>prijavitelja iz prijavnog obrasca.</w:t>
      </w:r>
    </w:p>
    <w:p w14:paraId="4AF30F49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99E3291" w14:textId="77777777" w:rsidR="007C6480" w:rsidRPr="003974C0" w:rsidRDefault="007C6480" w:rsidP="007C6480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3974C0">
        <w:rPr>
          <w:rFonts w:ascii="Arial" w:hAnsi="Arial" w:cs="Arial"/>
          <w:b/>
          <w:sz w:val="22"/>
          <w:szCs w:val="22"/>
        </w:rPr>
        <w:t>Povjerenstvo</w:t>
      </w:r>
    </w:p>
    <w:p w14:paraId="7506D6B7" w14:textId="006C43A9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Povjerenstvo za odabir najboljih projekata čine djelatnici Nacionalne </w:t>
      </w:r>
      <w:r w:rsidR="003974C0">
        <w:rPr>
          <w:rFonts w:ascii="Arial" w:hAnsi="Arial" w:cs="Arial"/>
          <w:sz w:val="22"/>
          <w:szCs w:val="22"/>
          <w:lang w:val="hr-HR" w:eastAsia="hr-HR"/>
        </w:rPr>
        <w:t xml:space="preserve">organizacije </w:t>
      </w:r>
      <w:r w:rsidR="003974C0" w:rsidRPr="000939AD">
        <w:rPr>
          <w:rFonts w:ascii="Arial" w:hAnsi="Arial" w:cs="Arial"/>
          <w:sz w:val="22"/>
          <w:szCs w:val="22"/>
          <w:lang w:val="hr-HR" w:eastAsia="hr-HR"/>
        </w:rPr>
        <w:t>za po</w:t>
      </w:r>
      <w:r w:rsidR="003974C0">
        <w:rPr>
          <w:rFonts w:ascii="Arial" w:hAnsi="Arial" w:cs="Arial"/>
          <w:sz w:val="22"/>
          <w:szCs w:val="22"/>
          <w:lang w:val="hr-HR" w:eastAsia="hr-HR"/>
        </w:rPr>
        <w:t>tporu</w:t>
      </w:r>
      <w:r w:rsidR="003974C0" w:rsidRPr="000939AD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eTwinningu pri Agenciji za mobilnost i programe Europske unije. U procesu ocjenjivanja prijava Nacionalna </w:t>
      </w:r>
      <w:r w:rsidR="003974C0">
        <w:rPr>
          <w:rFonts w:ascii="Arial" w:hAnsi="Arial" w:cs="Arial"/>
          <w:sz w:val="22"/>
          <w:szCs w:val="22"/>
          <w:lang w:val="hr-HR"/>
        </w:rPr>
        <w:t>organizacija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može konzultirati vanjske suradnike. Povjerenstvo će uzeti u obzir ciljeve i kontekst u kojemu je projekt realiziran te posebno vrednovati originalnost, kreativnost i prezentaciju rada. </w:t>
      </w:r>
    </w:p>
    <w:p w14:paraId="226815DB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E1B3147" w14:textId="02F4A9E0" w:rsidR="007C6480" w:rsidRPr="003974C0" w:rsidRDefault="007C6480" w:rsidP="007C6480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3974C0">
        <w:rPr>
          <w:rFonts w:ascii="Arial" w:hAnsi="Arial" w:cs="Arial"/>
          <w:b/>
          <w:sz w:val="22"/>
          <w:szCs w:val="22"/>
        </w:rPr>
        <w:t>Proglašenje pobjednika</w:t>
      </w:r>
      <w:r w:rsidR="00C33DE8">
        <w:rPr>
          <w:rFonts w:ascii="Arial" w:hAnsi="Arial" w:cs="Arial"/>
          <w:b/>
          <w:sz w:val="22"/>
          <w:szCs w:val="22"/>
        </w:rPr>
        <w:t xml:space="preserve"> i nagrade</w:t>
      </w:r>
    </w:p>
    <w:p w14:paraId="443E258B" w14:textId="499B93C1" w:rsidR="007C6480" w:rsidRPr="003974C0" w:rsidRDefault="007C6480" w:rsidP="007C6480">
      <w:pPr>
        <w:tabs>
          <w:tab w:val="left" w:pos="7280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Popis nagrađenih projekata bit će dostupan na mrežnim stranicama Nacionalne službe za podršku eTwinningu </w:t>
      </w:r>
      <w:hyperlink r:id="rId12" w:history="1">
        <w:r w:rsidR="00AC756B" w:rsidRPr="006150D6">
          <w:rPr>
            <w:rStyle w:val="Hyperlink"/>
            <w:rFonts w:ascii="Arial" w:hAnsi="Arial" w:cs="Arial"/>
            <w:sz w:val="22"/>
            <w:szCs w:val="22"/>
            <w:lang w:val="hr-HR"/>
          </w:rPr>
          <w:t>www.etwinning.hr</w:t>
        </w:r>
      </w:hyperlink>
      <w:r w:rsidRPr="003974C0">
        <w:rPr>
          <w:rStyle w:val="Hyperlink"/>
          <w:rFonts w:ascii="Arial" w:hAnsi="Arial" w:cs="Arial"/>
          <w:sz w:val="22"/>
          <w:szCs w:val="22"/>
          <w:lang w:val="hr-HR"/>
        </w:rPr>
        <w:t>.</w:t>
      </w:r>
      <w:r w:rsidRPr="000E52F2">
        <w:rPr>
          <w:rStyle w:val="Hyperlink"/>
          <w:rFonts w:ascii="Arial" w:hAnsi="Arial" w:cs="Arial"/>
          <w:sz w:val="22"/>
          <w:szCs w:val="22"/>
          <w:u w:val="none"/>
          <w:lang w:val="hr-HR"/>
        </w:rPr>
        <w:t xml:space="preserve"> 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Pobjednici će obavijest primiti i elektroničkom poštom na adresu navedenu u prijavnom obrascu. </w:t>
      </w:r>
    </w:p>
    <w:p w14:paraId="068E0032" w14:textId="0515176D" w:rsidR="007C6480" w:rsidRPr="003974C0" w:rsidRDefault="007C6480" w:rsidP="007C6480">
      <w:pPr>
        <w:tabs>
          <w:tab w:val="left" w:pos="7280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Dodjela nagrada održat će se u sklopu </w:t>
      </w:r>
      <w:r w:rsidR="003974C0" w:rsidRPr="003974C0">
        <w:rPr>
          <w:rFonts w:ascii="Arial" w:hAnsi="Arial" w:cs="Arial"/>
          <w:sz w:val="22"/>
          <w:szCs w:val="22"/>
          <w:lang w:val="hr-HR"/>
        </w:rPr>
        <w:t>Nacionalne</w:t>
      </w:r>
      <w:r w:rsidR="003974C0">
        <w:rPr>
          <w:rFonts w:ascii="Arial" w:hAnsi="Arial" w:cs="Arial"/>
          <w:i/>
          <w:iCs/>
          <w:sz w:val="22"/>
          <w:szCs w:val="22"/>
          <w:lang w:val="hr-HR"/>
        </w:rPr>
        <w:t xml:space="preserve"> </w:t>
      </w:r>
      <w:r w:rsidRPr="003974C0">
        <w:rPr>
          <w:rFonts w:ascii="Arial" w:hAnsi="Arial" w:cs="Arial"/>
          <w:sz w:val="22"/>
          <w:szCs w:val="22"/>
          <w:lang w:val="hr-HR"/>
        </w:rPr>
        <w:t>eTwinning</w:t>
      </w:r>
      <w:r w:rsidR="003974C0">
        <w:rPr>
          <w:rFonts w:ascii="Arial" w:hAnsi="Arial" w:cs="Arial"/>
          <w:sz w:val="22"/>
          <w:szCs w:val="22"/>
          <w:lang w:val="hr-HR"/>
        </w:rPr>
        <w:t>ove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konferencije.</w:t>
      </w:r>
    </w:p>
    <w:p w14:paraId="51548CC4" w14:textId="77777777" w:rsidR="0057790C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U svakoj se kategoriji nagrađuje samo jedan projekt. Jedna se osoba može prijaviti za najviše jednu kategoriju s najviše jednim projektom po kategoriji. </w:t>
      </w:r>
    </w:p>
    <w:p w14:paraId="62C52DF1" w14:textId="72C7A933" w:rsidR="0057790C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>U procesu ocjenjivanja i odabira najboljih projekata prednost će imati prijavitelji koji do sada nisu osvojili nagradu</w:t>
      </w:r>
      <w:r w:rsidR="0057790C">
        <w:rPr>
          <w:rFonts w:ascii="Arial" w:hAnsi="Arial" w:cs="Arial"/>
          <w:sz w:val="22"/>
          <w:szCs w:val="22"/>
          <w:lang w:val="hr-HR"/>
        </w:rPr>
        <w:t xml:space="preserve"> COMET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07F5A999" w14:textId="4A27387E" w:rsidR="007C6480" w:rsidRPr="003974C0" w:rsidRDefault="0057178A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7178A">
        <w:rPr>
          <w:rFonts w:ascii="Arial" w:hAnsi="Arial" w:cs="Arial"/>
          <w:sz w:val="22"/>
          <w:szCs w:val="22"/>
          <w:lang w:val="hr-HR"/>
        </w:rPr>
        <w:t>Ista se osoba može prijaviti isključivo s jednim projektom i u jednoj natječajnoj kategoriji.</w:t>
      </w:r>
      <w:r w:rsidR="0065420E">
        <w:rPr>
          <w:rFonts w:ascii="Arial" w:hAnsi="Arial" w:cs="Arial"/>
          <w:sz w:val="22"/>
          <w:szCs w:val="22"/>
          <w:lang w:val="hr-HR"/>
        </w:rPr>
        <w:t xml:space="preserve">  </w:t>
      </w:r>
      <w:r w:rsidR="007C6480" w:rsidRPr="003974C0">
        <w:rPr>
          <w:rFonts w:ascii="Arial" w:hAnsi="Arial" w:cs="Arial"/>
          <w:sz w:val="22"/>
          <w:szCs w:val="22"/>
          <w:lang w:val="hr-HR"/>
        </w:rPr>
        <w:t>Pobjednicima je osigurano sudjelovanje na eTwinning</w:t>
      </w:r>
      <w:r w:rsidR="00806551">
        <w:rPr>
          <w:rFonts w:ascii="Arial" w:hAnsi="Arial" w:cs="Arial"/>
          <w:sz w:val="22"/>
          <w:szCs w:val="22"/>
          <w:lang w:val="hr-HR"/>
        </w:rPr>
        <w:t>ovoj</w:t>
      </w:r>
      <w:r w:rsidR="007C6480" w:rsidRPr="003974C0">
        <w:rPr>
          <w:rFonts w:ascii="Arial" w:hAnsi="Arial" w:cs="Arial"/>
          <w:sz w:val="22"/>
          <w:szCs w:val="22"/>
          <w:lang w:val="hr-HR"/>
        </w:rPr>
        <w:t xml:space="preserve"> mobilnosti (konferenciji, seminaru ili radionici u inozemstvu) ili </w:t>
      </w:r>
      <w:r w:rsidR="00997096">
        <w:rPr>
          <w:rFonts w:ascii="Arial" w:hAnsi="Arial" w:cs="Arial"/>
          <w:sz w:val="22"/>
          <w:szCs w:val="22"/>
          <w:lang w:val="hr-HR"/>
        </w:rPr>
        <w:t>mrežnom</w:t>
      </w:r>
      <w:r w:rsidR="00997096" w:rsidRPr="003974C0">
        <w:rPr>
          <w:rFonts w:ascii="Arial" w:hAnsi="Arial" w:cs="Arial"/>
          <w:i/>
          <w:iCs/>
          <w:sz w:val="22"/>
          <w:szCs w:val="22"/>
          <w:lang w:val="hr-HR"/>
        </w:rPr>
        <w:t xml:space="preserve"> </w:t>
      </w:r>
      <w:r w:rsidR="007C6480" w:rsidRPr="003974C0">
        <w:rPr>
          <w:rFonts w:ascii="Arial" w:hAnsi="Arial" w:cs="Arial"/>
          <w:sz w:val="22"/>
          <w:szCs w:val="22"/>
          <w:lang w:val="hr-HR"/>
        </w:rPr>
        <w:t xml:space="preserve">događanju u organizaciji Središnje </w:t>
      </w:r>
      <w:r w:rsidR="00806551">
        <w:rPr>
          <w:rFonts w:ascii="Arial" w:hAnsi="Arial" w:cs="Arial"/>
          <w:sz w:val="22"/>
          <w:szCs w:val="22"/>
          <w:lang w:val="hr-HR"/>
        </w:rPr>
        <w:t xml:space="preserve">organizacije za potporu </w:t>
      </w:r>
      <w:r w:rsidR="007C6480" w:rsidRPr="003974C0">
        <w:rPr>
          <w:rFonts w:ascii="Arial" w:hAnsi="Arial" w:cs="Arial"/>
          <w:sz w:val="22"/>
          <w:szCs w:val="22"/>
          <w:lang w:val="hr-HR"/>
        </w:rPr>
        <w:t>eTwinningu tijekom 202</w:t>
      </w:r>
      <w:r w:rsidR="00B43444">
        <w:rPr>
          <w:rFonts w:ascii="Arial" w:hAnsi="Arial" w:cs="Arial"/>
          <w:sz w:val="22"/>
          <w:szCs w:val="22"/>
          <w:lang w:val="hr-HR"/>
        </w:rPr>
        <w:t>6</w:t>
      </w:r>
      <w:r w:rsidR="007C6480" w:rsidRPr="003974C0">
        <w:rPr>
          <w:rFonts w:ascii="Arial" w:hAnsi="Arial" w:cs="Arial"/>
          <w:sz w:val="22"/>
          <w:szCs w:val="22"/>
          <w:lang w:val="hr-HR"/>
        </w:rPr>
        <w:t xml:space="preserve">. godine. Pobjednik ne može u zamjenu za putovanje tražiti novčanu nagradu u protuvrijednosti putovanja. </w:t>
      </w:r>
    </w:p>
    <w:p w14:paraId="767815A4" w14:textId="77777777" w:rsidR="007C6480" w:rsidRPr="003974C0" w:rsidRDefault="007C6480" w:rsidP="007C6480">
      <w:pPr>
        <w:ind w:left="426"/>
        <w:jc w:val="both"/>
        <w:rPr>
          <w:rFonts w:ascii="Arial" w:hAnsi="Arial" w:cs="Arial"/>
          <w:sz w:val="22"/>
          <w:szCs w:val="22"/>
          <w:lang w:val="hr-HR"/>
        </w:rPr>
      </w:pPr>
    </w:p>
    <w:p w14:paraId="77E32438" w14:textId="77777777" w:rsidR="007C6480" w:rsidRPr="003974C0" w:rsidRDefault="007C6480" w:rsidP="007C6480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3974C0">
        <w:rPr>
          <w:rFonts w:ascii="Arial" w:hAnsi="Arial" w:cs="Arial"/>
          <w:b/>
          <w:sz w:val="22"/>
          <w:szCs w:val="22"/>
        </w:rPr>
        <w:t xml:space="preserve">Prihvaćanje pravilnika </w:t>
      </w:r>
    </w:p>
    <w:p w14:paraId="4E0F5FAE" w14:textId="2A336ED2" w:rsidR="00005EFF" w:rsidRDefault="007C6480" w:rsidP="005065F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>Sudjelovanje u natječaju podrazumijeva izravno prihvaćanje ovog Pravilnika i njegovih dodataka.</w:t>
      </w:r>
    </w:p>
    <w:p w14:paraId="45F1193C" w14:textId="77777777" w:rsidR="00005EFF" w:rsidRPr="003974C0" w:rsidRDefault="00005EFF" w:rsidP="007C6480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</w:p>
    <w:p w14:paraId="135FFA5A" w14:textId="77777777" w:rsidR="007C6480" w:rsidRPr="003974C0" w:rsidRDefault="007C6480" w:rsidP="007C6480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3974C0">
        <w:rPr>
          <w:rFonts w:ascii="Arial" w:hAnsi="Arial" w:cs="Arial"/>
          <w:b/>
          <w:sz w:val="22"/>
          <w:szCs w:val="22"/>
        </w:rPr>
        <w:t>Izmjene i dopune</w:t>
      </w:r>
    </w:p>
    <w:p w14:paraId="6413FBBA" w14:textId="6F63CF40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Organizator zadržava pravo izmjene, dopune i poništenja natječaja. Organizator nije odgovoran za gubitak podataka upisanih u </w:t>
      </w:r>
      <w:r w:rsidR="00C444CA">
        <w:rPr>
          <w:rFonts w:ascii="Arial" w:hAnsi="Arial" w:cs="Arial"/>
          <w:iCs/>
          <w:sz w:val="22"/>
          <w:szCs w:val="22"/>
          <w:lang w:val="hr-HR"/>
        </w:rPr>
        <w:t>mrežni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obrazac </w:t>
      </w:r>
      <w:r w:rsidR="00806551">
        <w:rPr>
          <w:rFonts w:ascii="Arial" w:hAnsi="Arial" w:cs="Arial"/>
          <w:sz w:val="22"/>
          <w:szCs w:val="22"/>
          <w:lang w:val="hr-HR"/>
        </w:rPr>
        <w:t>zbog</w:t>
      </w:r>
      <w:r w:rsidRPr="003974C0">
        <w:rPr>
          <w:rFonts w:ascii="Arial" w:hAnsi="Arial" w:cs="Arial"/>
          <w:sz w:val="22"/>
          <w:szCs w:val="22"/>
          <w:lang w:val="hr-HR"/>
        </w:rPr>
        <w:t xml:space="preserve"> tehničkih problema s pristupom mreži.</w:t>
      </w:r>
    </w:p>
    <w:p w14:paraId="6DACEEC7" w14:textId="77777777" w:rsidR="007C6480" w:rsidRPr="003974C0" w:rsidRDefault="007C6480" w:rsidP="007C6480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</w:p>
    <w:p w14:paraId="1E512AD3" w14:textId="77777777" w:rsidR="007C6480" w:rsidRPr="003974C0" w:rsidRDefault="007C6480" w:rsidP="007C6480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3974C0">
        <w:rPr>
          <w:rFonts w:ascii="Arial" w:hAnsi="Arial" w:cs="Arial"/>
          <w:b/>
          <w:sz w:val="22"/>
          <w:szCs w:val="22"/>
        </w:rPr>
        <w:lastRenderedPageBreak/>
        <w:t>Promidžba</w:t>
      </w:r>
    </w:p>
    <w:p w14:paraId="2AE4B519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>Organizator zadržava pravo objave imena i fotografije pobjednika u promotivne svrhe, bez isplaćivanja posebne naknade pobjedniku. Organizator zadržava pravo objave rezultata kreativnog rada svih sudionika pobjedničkog projekta.</w:t>
      </w:r>
    </w:p>
    <w:p w14:paraId="23044EC2" w14:textId="77777777" w:rsidR="007C6480" w:rsidRPr="003974C0" w:rsidRDefault="007C6480" w:rsidP="007C6480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</w:p>
    <w:p w14:paraId="774E37AC" w14:textId="77777777" w:rsidR="007C6480" w:rsidRPr="003974C0" w:rsidRDefault="007C6480" w:rsidP="007C648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974C0">
        <w:rPr>
          <w:rFonts w:ascii="Arial" w:hAnsi="Arial" w:cs="Arial"/>
          <w:sz w:val="22"/>
          <w:szCs w:val="22"/>
          <w:lang w:val="hr-HR"/>
        </w:rPr>
        <w:t xml:space="preserve">Sudjelovanje u ovom natječaju podrazumijeva prihvaćanje objave informacija o pobjedničkom projektu u promotivne, nekomercijalne svrhe. </w:t>
      </w:r>
    </w:p>
    <w:p w14:paraId="0EBAC177" w14:textId="77777777" w:rsidR="007C6480" w:rsidRPr="003974C0" w:rsidRDefault="007C6480" w:rsidP="007C6480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</w:p>
    <w:p w14:paraId="2D9CAF00" w14:textId="641C02F7" w:rsidR="007C6480" w:rsidRPr="003974C0" w:rsidRDefault="007C6480" w:rsidP="007C6480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hr-HR"/>
        </w:rPr>
      </w:pPr>
      <w:r w:rsidRPr="003974C0">
        <w:rPr>
          <w:rFonts w:ascii="Arial" w:eastAsia="Calibri" w:hAnsi="Arial" w:cs="Arial"/>
          <w:iCs/>
          <w:sz w:val="22"/>
          <w:szCs w:val="22"/>
          <w:lang w:val="hr-HR"/>
        </w:rPr>
        <w:t>Više o obradi osobnih podataka sudionika možete pročitati u Općoj obavijesti o obradi osobnih podataka dostupnoj na</w:t>
      </w:r>
      <w:r w:rsidR="00C33DE8">
        <w:rPr>
          <w:rFonts w:ascii="Arial" w:eastAsia="Calibri" w:hAnsi="Arial" w:cs="Arial"/>
          <w:iCs/>
          <w:sz w:val="22"/>
          <w:szCs w:val="22"/>
          <w:lang w:val="hr-HR"/>
        </w:rPr>
        <w:t xml:space="preserve"> </w:t>
      </w:r>
      <w:hyperlink r:id="rId13" w:history="1">
        <w:r w:rsidR="00C33DE8" w:rsidRPr="00515B15">
          <w:rPr>
            <w:rStyle w:val="Hyperlink"/>
            <w:rFonts w:ascii="Arial" w:eastAsia="Calibri" w:hAnsi="Arial" w:cs="Arial"/>
            <w:iCs/>
            <w:sz w:val="22"/>
            <w:szCs w:val="22"/>
            <w:lang w:val="hr-HR"/>
          </w:rPr>
          <w:t>https://ampeu.hr/o-nama/obrada-osobnih-podataka</w:t>
        </w:r>
      </w:hyperlink>
      <w:r w:rsidR="00C33DE8">
        <w:rPr>
          <w:rFonts w:ascii="Arial" w:eastAsia="Calibri" w:hAnsi="Arial" w:cs="Arial"/>
          <w:iCs/>
          <w:sz w:val="22"/>
          <w:szCs w:val="22"/>
          <w:lang w:val="hr-HR"/>
        </w:rPr>
        <w:t xml:space="preserve">. </w:t>
      </w:r>
    </w:p>
    <w:p w14:paraId="6EF25263" w14:textId="77777777" w:rsidR="007C6480" w:rsidRPr="003974C0" w:rsidRDefault="007C6480" w:rsidP="007C6480">
      <w:pPr>
        <w:rPr>
          <w:lang w:val="hr-HR"/>
        </w:rPr>
      </w:pPr>
    </w:p>
    <w:p w14:paraId="1B5BFB38" w14:textId="069444B4" w:rsidR="000939AD" w:rsidRPr="003974C0" w:rsidRDefault="000939AD" w:rsidP="007C6480">
      <w:pPr>
        <w:rPr>
          <w:lang w:val="hr-HR"/>
        </w:rPr>
      </w:pPr>
    </w:p>
    <w:sectPr w:rsidR="000939AD" w:rsidRPr="003974C0" w:rsidSect="003974C0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1B84" w14:textId="77777777" w:rsidR="002026A7" w:rsidRDefault="002026A7">
      <w:r>
        <w:separator/>
      </w:r>
    </w:p>
  </w:endnote>
  <w:endnote w:type="continuationSeparator" w:id="0">
    <w:p w14:paraId="274042B1" w14:textId="77777777" w:rsidR="002026A7" w:rsidRDefault="0020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16BC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CC16BF" wp14:editId="7DCC16C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697134" cy="338667"/>
          <wp:effectExtent l="25400" t="0" r="8466" b="0"/>
          <wp:wrapSquare wrapText="bothSides"/>
          <wp:docPr id="2" name="Picture 2" descr="h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7134" cy="338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4829" w14:textId="77777777" w:rsidR="002026A7" w:rsidRDefault="002026A7">
      <w:r>
        <w:separator/>
      </w:r>
    </w:p>
  </w:footnote>
  <w:footnote w:type="continuationSeparator" w:id="0">
    <w:p w14:paraId="3CFD3485" w14:textId="77777777" w:rsidR="002026A7" w:rsidRDefault="0020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16BB" w14:textId="77777777" w:rsidR="00BD25D3" w:rsidRDefault="00BD25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CC16BD" wp14:editId="7DCC16BE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8879" cy="694267"/>
          <wp:effectExtent l="25400" t="0" r="0" b="0"/>
          <wp:wrapSquare wrapText="bothSides"/>
          <wp:docPr id="1" name="Picture 1" descr="hr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879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345"/>
    <w:multiLevelType w:val="hybridMultilevel"/>
    <w:tmpl w:val="37A4D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22992"/>
    <w:multiLevelType w:val="hybridMultilevel"/>
    <w:tmpl w:val="F46099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B0773"/>
    <w:multiLevelType w:val="hybridMultilevel"/>
    <w:tmpl w:val="FCB66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F230D"/>
    <w:multiLevelType w:val="hybridMultilevel"/>
    <w:tmpl w:val="46D6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55577"/>
    <w:multiLevelType w:val="hybridMultilevel"/>
    <w:tmpl w:val="2F24D8DC"/>
    <w:lvl w:ilvl="0" w:tplc="8C229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825540">
    <w:abstractNumId w:val="4"/>
  </w:num>
  <w:num w:numId="2" w16cid:durableId="2096047022">
    <w:abstractNumId w:val="0"/>
  </w:num>
  <w:num w:numId="3" w16cid:durableId="1519808207">
    <w:abstractNumId w:val="2"/>
  </w:num>
  <w:num w:numId="4" w16cid:durableId="676494625">
    <w:abstractNumId w:val="3"/>
  </w:num>
  <w:num w:numId="5" w16cid:durableId="129606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5EFF"/>
    <w:rsid w:val="000939AD"/>
    <w:rsid w:val="000B78A6"/>
    <w:rsid w:val="000D1755"/>
    <w:rsid w:val="000E52F2"/>
    <w:rsid w:val="00113EF6"/>
    <w:rsid w:val="0015323B"/>
    <w:rsid w:val="00161F05"/>
    <w:rsid w:val="001E7DE2"/>
    <w:rsid w:val="002026A7"/>
    <w:rsid w:val="0021608B"/>
    <w:rsid w:val="002272BD"/>
    <w:rsid w:val="002324D3"/>
    <w:rsid w:val="002478A8"/>
    <w:rsid w:val="002952FC"/>
    <w:rsid w:val="00302ACC"/>
    <w:rsid w:val="003974C0"/>
    <w:rsid w:val="004718DD"/>
    <w:rsid w:val="00476C2C"/>
    <w:rsid w:val="004C0806"/>
    <w:rsid w:val="004C0D4C"/>
    <w:rsid w:val="00504F84"/>
    <w:rsid w:val="005065FE"/>
    <w:rsid w:val="0057178A"/>
    <w:rsid w:val="0057790C"/>
    <w:rsid w:val="005A59D4"/>
    <w:rsid w:val="005C47F8"/>
    <w:rsid w:val="005C67D3"/>
    <w:rsid w:val="00617C34"/>
    <w:rsid w:val="0065420E"/>
    <w:rsid w:val="0069433F"/>
    <w:rsid w:val="006B2E5F"/>
    <w:rsid w:val="006B7D96"/>
    <w:rsid w:val="00710FC3"/>
    <w:rsid w:val="0078051A"/>
    <w:rsid w:val="00786EBA"/>
    <w:rsid w:val="007C6480"/>
    <w:rsid w:val="008009D6"/>
    <w:rsid w:val="00804479"/>
    <w:rsid w:val="00806551"/>
    <w:rsid w:val="008216B5"/>
    <w:rsid w:val="00863FEF"/>
    <w:rsid w:val="008865A4"/>
    <w:rsid w:val="008E4976"/>
    <w:rsid w:val="00923765"/>
    <w:rsid w:val="0097384B"/>
    <w:rsid w:val="00997096"/>
    <w:rsid w:val="00AB6A80"/>
    <w:rsid w:val="00AC756B"/>
    <w:rsid w:val="00B43444"/>
    <w:rsid w:val="00BD25D3"/>
    <w:rsid w:val="00C33DE8"/>
    <w:rsid w:val="00C40482"/>
    <w:rsid w:val="00C444CA"/>
    <w:rsid w:val="00C9480E"/>
    <w:rsid w:val="00CF0EBE"/>
    <w:rsid w:val="00CF3D7D"/>
    <w:rsid w:val="00DB52AF"/>
    <w:rsid w:val="00E3402C"/>
    <w:rsid w:val="00ED5662"/>
    <w:rsid w:val="00F876CC"/>
    <w:rsid w:val="00FA5BD5"/>
    <w:rsid w:val="00FE7533"/>
    <w:rsid w:val="0118B429"/>
    <w:rsid w:val="1B7CDDD2"/>
    <w:rsid w:val="56E29284"/>
    <w:rsid w:val="7F065AB0"/>
    <w:rsid w:val="7FADC3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C16B8"/>
  <w15:docId w15:val="{02290568-7F8A-4787-A0F6-579D5944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</w:style>
  <w:style w:type="paragraph" w:styleId="Heading1">
    <w:name w:val="heading 1"/>
    <w:basedOn w:val="Normal"/>
    <w:next w:val="Normal"/>
    <w:link w:val="Heading1Char"/>
    <w:uiPriority w:val="9"/>
    <w:qFormat/>
    <w:rsid w:val="007C6480"/>
    <w:pPr>
      <w:keepNext/>
      <w:spacing w:before="240" w:after="60"/>
      <w:outlineLvl w:val="0"/>
    </w:pPr>
    <w:rPr>
      <w:rFonts w:ascii="Calibri" w:eastAsia="MS Gothic" w:hAnsi="Calibri" w:cs="Times New Roman"/>
      <w:b/>
      <w:bCs/>
      <w:kern w:val="32"/>
      <w:sz w:val="32"/>
      <w:szCs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5D3"/>
  </w:style>
  <w:style w:type="paragraph" w:styleId="Footer">
    <w:name w:val="footer"/>
    <w:basedOn w:val="Normal"/>
    <w:link w:val="FooterChar"/>
    <w:uiPriority w:val="99"/>
    <w:semiHidden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5D3"/>
  </w:style>
  <w:style w:type="character" w:styleId="Hyperlink">
    <w:name w:val="Hyperlink"/>
    <w:uiPriority w:val="99"/>
    <w:unhideWhenUsed/>
    <w:rsid w:val="000939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E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8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6480"/>
    <w:rPr>
      <w:rFonts w:ascii="Calibri" w:eastAsia="MS Gothic" w:hAnsi="Calibri" w:cs="Times New Roman"/>
      <w:b/>
      <w:bCs/>
      <w:kern w:val="32"/>
      <w:sz w:val="32"/>
      <w:szCs w:val="32"/>
      <w:lang w:val="hr-HR"/>
    </w:rPr>
  </w:style>
  <w:style w:type="paragraph" w:styleId="ListParagraph">
    <w:name w:val="List Paragraph"/>
    <w:basedOn w:val="Normal"/>
    <w:uiPriority w:val="34"/>
    <w:qFormat/>
    <w:rsid w:val="007C6480"/>
    <w:pPr>
      <w:ind w:left="720"/>
      <w:contextualSpacing/>
    </w:pPr>
    <w:rPr>
      <w:rFonts w:ascii="Times New Roman" w:eastAsia="Times New Roman" w:hAnsi="Times New Roman" w:cs="Times New Roman"/>
      <w:lang w:val="hr-HR"/>
    </w:rPr>
  </w:style>
  <w:style w:type="paragraph" w:styleId="Revision">
    <w:name w:val="Revision"/>
    <w:hidden/>
    <w:uiPriority w:val="99"/>
    <w:semiHidden/>
    <w:rsid w:val="0065420E"/>
  </w:style>
  <w:style w:type="character" w:styleId="CommentReference">
    <w:name w:val="annotation reference"/>
    <w:basedOn w:val="DefaultParagraphFont"/>
    <w:uiPriority w:val="99"/>
    <w:semiHidden/>
    <w:unhideWhenUsed/>
    <w:rsid w:val="00227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2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mpeu.hr/o-nama/obrada-osobnih-podatak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twinning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winning.hr/h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E0684843D24AAAC1B31482600C55" ma:contentTypeVersion="11" ma:contentTypeDescription="Create a new document." ma:contentTypeScope="" ma:versionID="47fda2ec67fb00381b41bbdc54fdcf2e">
  <xsd:schema xmlns:xsd="http://www.w3.org/2001/XMLSchema" xmlns:xs="http://www.w3.org/2001/XMLSchema" xmlns:p="http://schemas.microsoft.com/office/2006/metadata/properties" xmlns:ns2="7dc9f9b0-4de4-4e87-8975-51c6c4a200ec" xmlns:ns3="1da0a812-136f-4ea9-9d0e-4cd82503c772" targetNamespace="http://schemas.microsoft.com/office/2006/metadata/properties" ma:root="true" ma:fieldsID="1e657b17c27c8d23575b87a7b01ea4a4" ns2:_="" ns3:_="">
    <xsd:import namespace="7dc9f9b0-4de4-4e87-8975-51c6c4a200ec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f9b0-4de4-4e87-8975-51c6c4a2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299732-979e-4546-9794-23a7fb884ac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7dc9f9b0-4de4-4e87-8975-51c6c4a200e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5BDD-DCAC-4152-A332-D721C836F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9f9b0-4de4-4e87-8975-51c6c4a200ec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purl.org/dc/terms/"/>
    <ds:schemaRef ds:uri="1da0a812-136f-4ea9-9d0e-4cd82503c772"/>
    <ds:schemaRef ds:uri="7dc9f9b0-4de4-4e87-8975-51c6c4a200e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232419-5DE2-45F7-82CE-13B019C7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Snježana Matek Sačer</cp:lastModifiedBy>
  <cp:revision>4</cp:revision>
  <cp:lastPrinted>2022-10-12T09:11:00Z</cp:lastPrinted>
  <dcterms:created xsi:type="dcterms:W3CDTF">2025-07-03T12:55:00Z</dcterms:created>
  <dcterms:modified xsi:type="dcterms:W3CDTF">2025-07-07T07:56:00Z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0x010100E4A7E0684843D24AAAC1B31482600C55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